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15E" w:rsidRPr="002F615E" w:rsidRDefault="002F615E" w:rsidP="005F2F5F">
      <w:pPr>
        <w:pStyle w:val="NoSpacing"/>
        <w:jc w:val="center"/>
        <w:rPr>
          <w:rFonts w:ascii="Book Antiqua" w:hAnsi="Book Antiqua"/>
          <w:b/>
          <w:i/>
        </w:rPr>
      </w:pPr>
      <w:r>
        <w:rPr>
          <w:rFonts w:ascii="Book Antiqua" w:hAnsi="Book Antiqua"/>
          <w:b/>
        </w:rPr>
        <w:t xml:space="preserve">Investigating musicality and tone in </w:t>
      </w:r>
      <w:r>
        <w:rPr>
          <w:rFonts w:ascii="Book Antiqua" w:hAnsi="Book Antiqua"/>
          <w:b/>
          <w:i/>
        </w:rPr>
        <w:t>The Grapes of Wrath</w:t>
      </w:r>
    </w:p>
    <w:p w:rsidR="002F615E" w:rsidRDefault="00002810" w:rsidP="002F615E">
      <w:pPr>
        <w:pStyle w:val="NoSpacing"/>
        <w:rPr>
          <w:rFonts w:ascii="Book Antiqua" w:hAnsi="Book Antiqua"/>
        </w:rPr>
      </w:pPr>
      <w:r w:rsidRPr="00002810">
        <w:rPr>
          <w:rFonts w:ascii="Book Antiqua" w:hAnsi="Book Antiqua"/>
        </w:rPr>
        <w:t>Mark Miazga</w:t>
      </w:r>
    </w:p>
    <w:p w:rsidR="00002810" w:rsidRDefault="00002810" w:rsidP="002F615E">
      <w:pPr>
        <w:pStyle w:val="NoSpacing"/>
        <w:rPr>
          <w:rFonts w:ascii="Book Antiqua" w:hAnsi="Book Antiqua"/>
        </w:rPr>
      </w:pPr>
      <w:r>
        <w:rPr>
          <w:rFonts w:ascii="Book Antiqua" w:hAnsi="Book Antiqua"/>
        </w:rPr>
        <w:t>Baltimore City College High School</w:t>
      </w:r>
    </w:p>
    <w:p w:rsidR="00002810" w:rsidRDefault="00002810" w:rsidP="002F615E">
      <w:pPr>
        <w:pStyle w:val="NoSpacing"/>
        <w:rPr>
          <w:rFonts w:ascii="Book Antiqua" w:hAnsi="Book Antiqua"/>
        </w:rPr>
      </w:pPr>
      <w:r>
        <w:rPr>
          <w:rFonts w:ascii="Book Antiqua" w:hAnsi="Book Antiqua"/>
        </w:rPr>
        <w:t>NEH Institute 2013</w:t>
      </w:r>
      <w:bookmarkStart w:id="0" w:name="_GoBack"/>
      <w:bookmarkEnd w:id="0"/>
    </w:p>
    <w:p w:rsidR="00002810" w:rsidRPr="002F615E" w:rsidRDefault="00002810" w:rsidP="002F615E">
      <w:pPr>
        <w:pStyle w:val="NoSpacing"/>
        <w:rPr>
          <w:rFonts w:ascii="Book Antiqua" w:hAnsi="Book Antiqua"/>
        </w:rPr>
      </w:pPr>
    </w:p>
    <w:p w:rsidR="005F2F5F" w:rsidRDefault="005F2F5F" w:rsidP="002F615E">
      <w:pPr>
        <w:pStyle w:val="NoSpacing"/>
        <w:rPr>
          <w:rFonts w:ascii="Book Antiqua" w:hAnsi="Book Antiqua"/>
          <w:b/>
        </w:rPr>
      </w:pPr>
      <w:r>
        <w:rPr>
          <w:rFonts w:ascii="Book Antiqua" w:hAnsi="Book Antiqua"/>
          <w:b/>
        </w:rPr>
        <w:t>Common Core Standard:</w:t>
      </w:r>
    </w:p>
    <w:p w:rsidR="002F615E" w:rsidRDefault="00002810" w:rsidP="002F615E">
      <w:pPr>
        <w:pStyle w:val="NoSpacing"/>
        <w:rPr>
          <w:rFonts w:ascii="Book Antiqua" w:hAnsi="Book Antiqua"/>
        </w:rPr>
      </w:pPr>
      <w:hyperlink r:id="rId6" w:history="1">
        <w:r w:rsidR="002F615E" w:rsidRPr="002F615E">
          <w:rPr>
            <w:rFonts w:ascii="Book Antiqua" w:hAnsi="Book Antiqua"/>
          </w:rPr>
          <w:t>CCSS.ELA-Literacy.RL.9-10.4</w:t>
        </w:r>
      </w:hyperlink>
      <w:r w:rsidR="002F615E" w:rsidRPr="002F615E">
        <w:rPr>
          <w:rFonts w:ascii="Book Antiqua" w:hAnsi="Book Antiqua"/>
        </w:rPr>
        <w:t>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rsidR="002F615E" w:rsidRDefault="002F615E" w:rsidP="002F615E">
      <w:pPr>
        <w:pStyle w:val="NoSpacing"/>
        <w:rPr>
          <w:rFonts w:ascii="Book Antiqua" w:hAnsi="Book Antiqua"/>
        </w:rPr>
      </w:pPr>
    </w:p>
    <w:p w:rsidR="005F2F5F" w:rsidRDefault="005F2F5F" w:rsidP="002F615E">
      <w:pPr>
        <w:pStyle w:val="NoSpacing"/>
        <w:rPr>
          <w:rFonts w:ascii="Book Antiqua" w:hAnsi="Book Antiqua"/>
        </w:rPr>
      </w:pPr>
      <w:r>
        <w:rPr>
          <w:rFonts w:ascii="Book Antiqua" w:hAnsi="Book Antiqua"/>
          <w:b/>
        </w:rPr>
        <w:t>When to Deliver in Unit</w:t>
      </w:r>
      <w:r w:rsidR="002F615E">
        <w:rPr>
          <w:rFonts w:ascii="Book Antiqua" w:hAnsi="Book Antiqua"/>
        </w:rPr>
        <w:t xml:space="preserve">: </w:t>
      </w:r>
    </w:p>
    <w:p w:rsidR="002F615E" w:rsidRDefault="002F615E" w:rsidP="002F615E">
      <w:pPr>
        <w:pStyle w:val="NoSpacing"/>
        <w:rPr>
          <w:rFonts w:ascii="Book Antiqua" w:hAnsi="Book Antiqua"/>
        </w:rPr>
      </w:pPr>
      <w:r>
        <w:rPr>
          <w:rFonts w:ascii="Book Antiqua" w:hAnsi="Book Antiqua"/>
        </w:rPr>
        <w:t>After reading approximately first 8 chapters (at least through chapter 5)</w:t>
      </w:r>
    </w:p>
    <w:p w:rsidR="002F615E" w:rsidRDefault="002F615E" w:rsidP="002F615E">
      <w:pPr>
        <w:pStyle w:val="NoSpacing"/>
        <w:rPr>
          <w:rFonts w:ascii="Book Antiqua" w:hAnsi="Book Antiqua"/>
        </w:rPr>
      </w:pPr>
    </w:p>
    <w:p w:rsidR="00667F84" w:rsidRPr="005F2F5F" w:rsidRDefault="00667F84" w:rsidP="002F615E">
      <w:pPr>
        <w:pStyle w:val="NoSpacing"/>
        <w:rPr>
          <w:rFonts w:ascii="Book Antiqua" w:hAnsi="Book Antiqua"/>
          <w:b/>
        </w:rPr>
      </w:pPr>
      <w:r w:rsidRPr="005F2F5F">
        <w:rPr>
          <w:rFonts w:ascii="Book Antiqua" w:hAnsi="Book Antiqua"/>
          <w:b/>
        </w:rPr>
        <w:t xml:space="preserve">Materials: </w:t>
      </w:r>
    </w:p>
    <w:p w:rsidR="00667F84" w:rsidRDefault="00667F84" w:rsidP="00667F84">
      <w:pPr>
        <w:pStyle w:val="NoSpacing"/>
        <w:numPr>
          <w:ilvl w:val="0"/>
          <w:numId w:val="3"/>
        </w:numPr>
        <w:rPr>
          <w:rFonts w:ascii="Book Antiqua" w:hAnsi="Book Antiqua"/>
        </w:rPr>
      </w:pPr>
      <w:r>
        <w:rPr>
          <w:rFonts w:ascii="Book Antiqua" w:hAnsi="Book Antiqua"/>
        </w:rPr>
        <w:t xml:space="preserve">Copies of P. 22-25 of </w:t>
      </w:r>
      <w:r>
        <w:rPr>
          <w:rFonts w:ascii="Book Antiqua" w:hAnsi="Book Antiqua"/>
          <w:i/>
        </w:rPr>
        <w:t xml:space="preserve">Working Days: The Journals of </w:t>
      </w:r>
      <w:r>
        <w:rPr>
          <w:rFonts w:ascii="Book Antiqua" w:hAnsi="Book Antiqua"/>
        </w:rPr>
        <w:t>The Grapes of Wrath (ed. by Robert DeMott)</w:t>
      </w:r>
      <w:r>
        <w:rPr>
          <w:rFonts w:ascii="Book Antiqua" w:hAnsi="Book Antiqua"/>
          <w:i/>
        </w:rPr>
        <w:t xml:space="preserve">, </w:t>
      </w:r>
      <w:r>
        <w:rPr>
          <w:rFonts w:ascii="Book Antiqua" w:hAnsi="Book Antiqua"/>
        </w:rPr>
        <w:t>which covers entries #6-12 (June 4, 1938 – June 11, 1938). It should be just one page, front and back.</w:t>
      </w:r>
    </w:p>
    <w:p w:rsidR="00667F84" w:rsidRDefault="00667F84" w:rsidP="00667F84">
      <w:pPr>
        <w:pStyle w:val="NoSpacing"/>
        <w:numPr>
          <w:ilvl w:val="0"/>
          <w:numId w:val="3"/>
        </w:numPr>
        <w:rPr>
          <w:rFonts w:ascii="Book Antiqua" w:hAnsi="Book Antiqua"/>
        </w:rPr>
      </w:pPr>
      <w:r>
        <w:rPr>
          <w:rFonts w:ascii="Book Antiqua" w:hAnsi="Book Antiqua"/>
        </w:rPr>
        <w:t>Copy of “Swan Lake”, ballet by Peter Tchaikovsky (available on Youtube)</w:t>
      </w:r>
    </w:p>
    <w:p w:rsidR="00667F84" w:rsidRDefault="00667F84" w:rsidP="002F615E">
      <w:pPr>
        <w:pStyle w:val="NoSpacing"/>
        <w:rPr>
          <w:rFonts w:ascii="Book Antiqua" w:hAnsi="Book Antiqua"/>
        </w:rPr>
      </w:pPr>
    </w:p>
    <w:p w:rsidR="00667F84" w:rsidRDefault="00667F84" w:rsidP="002F615E">
      <w:pPr>
        <w:pStyle w:val="NoSpacing"/>
        <w:rPr>
          <w:rFonts w:ascii="Book Antiqua" w:hAnsi="Book Antiqua"/>
        </w:rPr>
      </w:pPr>
    </w:p>
    <w:p w:rsidR="002F615E" w:rsidRDefault="005F2F5F" w:rsidP="002F615E">
      <w:pPr>
        <w:pStyle w:val="NoSpacing"/>
        <w:rPr>
          <w:rFonts w:ascii="Book Antiqua" w:hAnsi="Book Antiqua"/>
          <w:b/>
        </w:rPr>
      </w:pPr>
      <w:r>
        <w:rPr>
          <w:rFonts w:ascii="Book Antiqua" w:hAnsi="Book Antiqua"/>
          <w:b/>
        </w:rPr>
        <w:t>Directions:</w:t>
      </w:r>
    </w:p>
    <w:p w:rsidR="002F615E" w:rsidRDefault="00667F84" w:rsidP="002F615E">
      <w:pPr>
        <w:pStyle w:val="NoSpacing"/>
        <w:numPr>
          <w:ilvl w:val="0"/>
          <w:numId w:val="2"/>
        </w:numPr>
        <w:rPr>
          <w:rFonts w:ascii="Book Antiqua" w:hAnsi="Book Antiqua"/>
        </w:rPr>
      </w:pPr>
      <w:r>
        <w:rPr>
          <w:rFonts w:ascii="Book Antiqua" w:hAnsi="Book Antiqua"/>
        </w:rPr>
        <w:t>Teacher instructs students to read</w:t>
      </w:r>
      <w:r w:rsidR="00C44E68">
        <w:rPr>
          <w:rFonts w:ascii="Book Antiqua" w:hAnsi="Book Antiqua"/>
        </w:rPr>
        <w:t xml:space="preserve"> the excerpt from </w:t>
      </w:r>
      <w:r w:rsidR="00C44E68">
        <w:rPr>
          <w:rFonts w:ascii="Book Antiqua" w:hAnsi="Book Antiqua"/>
          <w:i/>
        </w:rPr>
        <w:t>Working Days</w:t>
      </w:r>
      <w:r>
        <w:rPr>
          <w:rFonts w:ascii="Book Antiqua" w:hAnsi="Book Antiqua"/>
        </w:rPr>
        <w:t xml:space="preserve"> silently for 5 minutes and annotate 5 lines in the journal that show insight into Steinbeck’s writing process.</w:t>
      </w:r>
    </w:p>
    <w:p w:rsidR="00C44E68" w:rsidRDefault="00C44E68" w:rsidP="00C44E68">
      <w:pPr>
        <w:pStyle w:val="NoSpacing"/>
        <w:ind w:left="720"/>
        <w:rPr>
          <w:rFonts w:ascii="Book Antiqua" w:hAnsi="Book Antiqua"/>
        </w:rPr>
      </w:pPr>
    </w:p>
    <w:p w:rsidR="00667F84" w:rsidRDefault="00667F84" w:rsidP="002F615E">
      <w:pPr>
        <w:pStyle w:val="NoSpacing"/>
        <w:numPr>
          <w:ilvl w:val="0"/>
          <w:numId w:val="2"/>
        </w:numPr>
        <w:rPr>
          <w:rFonts w:ascii="Book Antiqua" w:hAnsi="Book Antiqua"/>
        </w:rPr>
      </w:pPr>
      <w:r>
        <w:rPr>
          <w:rFonts w:ascii="Book Antiqua" w:hAnsi="Book Antiqua"/>
        </w:rPr>
        <w:t>Teacher can have students pair and share, then report out, or have a full class reporting out of what was found. Specific note should be taken about the following insights into the writing of Chapter 5:</w:t>
      </w:r>
    </w:p>
    <w:p w:rsidR="00667F84" w:rsidRDefault="00667F84" w:rsidP="00667F84">
      <w:pPr>
        <w:pStyle w:val="NoSpacing"/>
        <w:numPr>
          <w:ilvl w:val="1"/>
          <w:numId w:val="2"/>
        </w:numPr>
        <w:rPr>
          <w:rFonts w:ascii="Book Antiqua" w:hAnsi="Book Antiqua"/>
        </w:rPr>
      </w:pPr>
      <w:r>
        <w:rPr>
          <w:rFonts w:ascii="Book Antiqua" w:hAnsi="Book Antiqua"/>
        </w:rPr>
        <w:t>“But since the next chapter [Ed. – Chapter 5] tellso fthe coming of the tractors and must have a symphonic overtone, and, moreover, may not be more than four or five pages long…”</w:t>
      </w:r>
      <w:r w:rsidR="004479C0">
        <w:rPr>
          <w:rFonts w:ascii="Book Antiqua" w:hAnsi="Book Antiqua"/>
        </w:rPr>
        <w:t xml:space="preserve"> (Entry #6)</w:t>
      </w:r>
    </w:p>
    <w:p w:rsidR="00667F84" w:rsidRDefault="00667F84" w:rsidP="00667F84">
      <w:pPr>
        <w:pStyle w:val="NoSpacing"/>
        <w:numPr>
          <w:ilvl w:val="1"/>
          <w:numId w:val="2"/>
        </w:numPr>
        <w:rPr>
          <w:rFonts w:ascii="Book Antiqua" w:hAnsi="Book Antiqua"/>
        </w:rPr>
      </w:pPr>
      <w:r>
        <w:rPr>
          <w:rFonts w:ascii="Book Antiqua" w:hAnsi="Book Antiqua"/>
        </w:rPr>
        <w:t>“Have to make the sound of the tractors and the dust of the tractors. I’ll have to have music before that…”</w:t>
      </w:r>
      <w:r w:rsidR="004479C0">
        <w:rPr>
          <w:rFonts w:ascii="Book Antiqua" w:hAnsi="Book Antiqua"/>
        </w:rPr>
        <w:t xml:space="preserve"> (Entry #7)</w:t>
      </w:r>
    </w:p>
    <w:p w:rsidR="00667F84" w:rsidRDefault="00667F84" w:rsidP="00667F84">
      <w:pPr>
        <w:pStyle w:val="NoSpacing"/>
        <w:numPr>
          <w:ilvl w:val="1"/>
          <w:numId w:val="2"/>
        </w:numPr>
        <w:rPr>
          <w:rFonts w:ascii="Book Antiqua" w:hAnsi="Book Antiqua"/>
        </w:rPr>
      </w:pPr>
      <w:r>
        <w:rPr>
          <w:rFonts w:ascii="Book Antiqua" w:hAnsi="Book Antiqua"/>
        </w:rPr>
        <w:t>“Today’s work is the overtone of tractors, then men who run them, the men they displace, the sound of them, the smell of them. I’ve got to get this over. Got to because this one’s tone is very important—this is the eviction sound and the tonal reason for the movement. Must do it well.”</w:t>
      </w:r>
      <w:r w:rsidR="004479C0">
        <w:rPr>
          <w:rFonts w:ascii="Book Antiqua" w:hAnsi="Book Antiqua"/>
        </w:rPr>
        <w:t xml:space="preserve"> (Entry #8)</w:t>
      </w:r>
    </w:p>
    <w:p w:rsidR="00C44E68" w:rsidRDefault="00C44E68" w:rsidP="00C44E68">
      <w:pPr>
        <w:pStyle w:val="NoSpacing"/>
        <w:ind w:left="1440"/>
        <w:rPr>
          <w:rFonts w:ascii="Book Antiqua" w:hAnsi="Book Antiqua"/>
        </w:rPr>
      </w:pPr>
    </w:p>
    <w:p w:rsidR="004479C0" w:rsidRDefault="004479C0" w:rsidP="004479C0">
      <w:pPr>
        <w:pStyle w:val="NoSpacing"/>
        <w:numPr>
          <w:ilvl w:val="0"/>
          <w:numId w:val="2"/>
        </w:numPr>
        <w:rPr>
          <w:rFonts w:ascii="Book Antiqua" w:hAnsi="Book Antiqua"/>
        </w:rPr>
      </w:pPr>
      <w:r>
        <w:rPr>
          <w:rFonts w:ascii="Book Antiqua" w:hAnsi="Book Antiqua"/>
        </w:rPr>
        <w:t xml:space="preserve">Share with students the fact revealed in Entry #20: “I think I’ll play </w:t>
      </w:r>
      <w:r>
        <w:rPr>
          <w:rFonts w:ascii="Book Antiqua" w:hAnsi="Book Antiqua"/>
          <w:i/>
        </w:rPr>
        <w:t>The Swan</w:t>
      </w:r>
      <w:r>
        <w:rPr>
          <w:rFonts w:ascii="Book Antiqua" w:hAnsi="Book Antiqua"/>
        </w:rPr>
        <w:t xml:space="preserve"> before because there too is the loss of a loved thing of the past” and use it to introduce the ballet by Tchaikovsky.</w:t>
      </w:r>
    </w:p>
    <w:p w:rsidR="00C44E68" w:rsidRDefault="00C44E68" w:rsidP="00C44E68">
      <w:pPr>
        <w:pStyle w:val="NoSpacing"/>
        <w:ind w:left="720"/>
        <w:rPr>
          <w:rFonts w:ascii="Book Antiqua" w:hAnsi="Book Antiqua"/>
        </w:rPr>
      </w:pPr>
    </w:p>
    <w:p w:rsidR="004479C0" w:rsidRDefault="00C44E68" w:rsidP="004479C0">
      <w:pPr>
        <w:pStyle w:val="NoSpacing"/>
        <w:numPr>
          <w:ilvl w:val="0"/>
          <w:numId w:val="2"/>
        </w:numPr>
        <w:rPr>
          <w:rFonts w:ascii="Book Antiqua" w:hAnsi="Book Antiqua"/>
        </w:rPr>
      </w:pPr>
      <w:r>
        <w:rPr>
          <w:rFonts w:ascii="Book Antiqua" w:hAnsi="Book Antiqua"/>
        </w:rPr>
        <w:t>Have students freewrite or discuss</w:t>
      </w:r>
      <w:r w:rsidR="004479C0">
        <w:rPr>
          <w:rFonts w:ascii="Book Antiqua" w:hAnsi="Book Antiqua"/>
        </w:rPr>
        <w:t xml:space="preserve">: Why would Steinbeck want to achieve a “symphonic overtone”? Why would he want it to share “the loss of a loved thing of the past” with the ballet? </w:t>
      </w:r>
    </w:p>
    <w:p w:rsidR="00C44E68" w:rsidRDefault="00C44E68" w:rsidP="00C44E68">
      <w:pPr>
        <w:pStyle w:val="NoSpacing"/>
        <w:rPr>
          <w:rFonts w:ascii="Book Antiqua" w:hAnsi="Book Antiqua"/>
        </w:rPr>
      </w:pPr>
    </w:p>
    <w:p w:rsidR="00C44E68" w:rsidRDefault="005C3B54" w:rsidP="00C44E68">
      <w:pPr>
        <w:pStyle w:val="NoSpacing"/>
        <w:numPr>
          <w:ilvl w:val="0"/>
          <w:numId w:val="2"/>
        </w:numPr>
        <w:rPr>
          <w:rFonts w:ascii="Book Antiqua" w:hAnsi="Book Antiqua"/>
        </w:rPr>
      </w:pPr>
      <w:r>
        <w:rPr>
          <w:rFonts w:ascii="Book Antiqua" w:hAnsi="Book Antiqua"/>
        </w:rPr>
        <w:lastRenderedPageBreak/>
        <w:t>Play the score of the ballet while teacher begins reading the first few sentences, emphasizing the musicality of the words. Then, call on a couple of volunteers to read a few lines. Model for students where the “symphonic” tone may be captured by the words (for example, the long sentences built by commas in the first two sentences, ended with the short “They were silent.” sentence that rests that particular rhythm before it builds again in next paragraph.)</w:t>
      </w:r>
    </w:p>
    <w:p w:rsidR="00C44E68" w:rsidRPr="00C44E68" w:rsidRDefault="00C44E68" w:rsidP="00C44E68">
      <w:pPr>
        <w:pStyle w:val="NoSpacing"/>
        <w:rPr>
          <w:rFonts w:ascii="Book Antiqua" w:hAnsi="Book Antiqua"/>
        </w:rPr>
      </w:pPr>
    </w:p>
    <w:p w:rsidR="005C3B54" w:rsidRDefault="005C3B54" w:rsidP="004479C0">
      <w:pPr>
        <w:pStyle w:val="NoSpacing"/>
        <w:numPr>
          <w:ilvl w:val="0"/>
          <w:numId w:val="2"/>
        </w:numPr>
        <w:rPr>
          <w:rFonts w:ascii="Book Antiqua" w:hAnsi="Book Antiqua"/>
        </w:rPr>
      </w:pPr>
      <w:r>
        <w:rPr>
          <w:rFonts w:ascii="Book Antiqua" w:hAnsi="Book Antiqua"/>
        </w:rPr>
        <w:t>Continue playing ballet while students read along silently, with the instructions to mark the text for where the symphonic overtones of the music seem particularly</w:t>
      </w:r>
      <w:r w:rsidR="00E31643">
        <w:rPr>
          <w:rFonts w:ascii="Book Antiqua" w:hAnsi="Book Antiqua"/>
        </w:rPr>
        <w:t xml:space="preserve"> well represented by the words and syntax. </w:t>
      </w:r>
    </w:p>
    <w:p w:rsidR="00C44E68" w:rsidRDefault="00C44E68" w:rsidP="00C44E68">
      <w:pPr>
        <w:pStyle w:val="NoSpacing"/>
        <w:rPr>
          <w:rFonts w:ascii="Book Antiqua" w:hAnsi="Book Antiqua"/>
        </w:rPr>
      </w:pPr>
    </w:p>
    <w:p w:rsidR="00E31643" w:rsidRDefault="00E31643" w:rsidP="004479C0">
      <w:pPr>
        <w:pStyle w:val="NoSpacing"/>
        <w:numPr>
          <w:ilvl w:val="0"/>
          <w:numId w:val="2"/>
        </w:numPr>
        <w:rPr>
          <w:rFonts w:ascii="Book Antiqua" w:hAnsi="Book Antiqua"/>
        </w:rPr>
      </w:pPr>
      <w:r>
        <w:rPr>
          <w:rFonts w:ascii="Book Antiqua" w:hAnsi="Book Antiqua"/>
        </w:rPr>
        <w:t>Students discuss</w:t>
      </w:r>
      <w:r w:rsidR="00837A6C">
        <w:rPr>
          <w:rFonts w:ascii="Book Antiqua" w:hAnsi="Book Antiqua"/>
        </w:rPr>
        <w:t xml:space="preserve"> and record</w:t>
      </w:r>
      <w:r>
        <w:rPr>
          <w:rFonts w:ascii="Book Antiqua" w:hAnsi="Book Antiqua"/>
        </w:rPr>
        <w:t xml:space="preserve">, in small groups, the questions: </w:t>
      </w:r>
    </w:p>
    <w:p w:rsidR="00E31643" w:rsidRDefault="00E31643" w:rsidP="00E31643">
      <w:pPr>
        <w:pStyle w:val="NoSpacing"/>
        <w:numPr>
          <w:ilvl w:val="1"/>
          <w:numId w:val="2"/>
        </w:numPr>
        <w:rPr>
          <w:rFonts w:ascii="Book Antiqua" w:hAnsi="Book Antiqua"/>
        </w:rPr>
      </w:pPr>
      <w:r>
        <w:rPr>
          <w:rFonts w:ascii="Book Antiqua" w:hAnsi="Book Antiqua"/>
        </w:rPr>
        <w:t xml:space="preserve">In what lines </w:t>
      </w:r>
      <w:r w:rsidR="00837A6C">
        <w:rPr>
          <w:rFonts w:ascii="Book Antiqua" w:hAnsi="Book Antiqua"/>
        </w:rPr>
        <w:t xml:space="preserve">of text </w:t>
      </w:r>
      <w:r>
        <w:rPr>
          <w:rFonts w:ascii="Book Antiqua" w:hAnsi="Book Antiqua"/>
        </w:rPr>
        <w:t xml:space="preserve">was Steinbeck especially successful at capturing a “symphonic overtone”? </w:t>
      </w:r>
    </w:p>
    <w:p w:rsidR="00837A6C" w:rsidRPr="005F2F5F" w:rsidRDefault="00E31643" w:rsidP="005F2F5F">
      <w:pPr>
        <w:pStyle w:val="NoSpacing"/>
        <w:numPr>
          <w:ilvl w:val="1"/>
          <w:numId w:val="2"/>
        </w:numPr>
        <w:rPr>
          <w:rFonts w:ascii="Book Antiqua" w:hAnsi="Book Antiqua"/>
        </w:rPr>
      </w:pPr>
      <w:r>
        <w:rPr>
          <w:rFonts w:ascii="Book Antiqua" w:hAnsi="Book Antiqua"/>
        </w:rPr>
        <w:t xml:space="preserve">What is the cumulative impact of </w:t>
      </w:r>
      <w:r w:rsidR="005674EA">
        <w:rPr>
          <w:rFonts w:ascii="Book Antiqua" w:hAnsi="Book Antiqua"/>
        </w:rPr>
        <w:t xml:space="preserve">Steinbeck’s choices for this chapter? What is his purpose for the goals he describes in the journal? </w:t>
      </w:r>
      <w:r w:rsidR="00837A6C" w:rsidRPr="005F2F5F">
        <w:rPr>
          <w:rFonts w:ascii="Book Antiqua" w:hAnsi="Book Antiqua"/>
        </w:rPr>
        <w:t xml:space="preserve">What evidence best supports this cumulative impact? </w:t>
      </w:r>
    </w:p>
    <w:p w:rsidR="005F2F5F" w:rsidRDefault="005F2F5F" w:rsidP="00E31643">
      <w:pPr>
        <w:pStyle w:val="NoSpacing"/>
        <w:numPr>
          <w:ilvl w:val="1"/>
          <w:numId w:val="2"/>
        </w:numPr>
        <w:rPr>
          <w:rFonts w:ascii="Book Antiqua" w:hAnsi="Book Antiqua"/>
        </w:rPr>
      </w:pPr>
      <w:r>
        <w:rPr>
          <w:rFonts w:ascii="Book Antiqua" w:hAnsi="Book Antiqua"/>
        </w:rPr>
        <w:t>(Optional) In the other inter-chapters read so far, what seems to be Steinbeck’s purpose for each? What evidence shows he achieved it? [perhaps divide into groups depending on where in novel class is]</w:t>
      </w:r>
    </w:p>
    <w:p w:rsidR="005F2F5F" w:rsidRDefault="00C44E68" w:rsidP="00C44E68">
      <w:pPr>
        <w:pStyle w:val="NoSpacing"/>
        <w:ind w:left="720"/>
        <w:rPr>
          <w:rFonts w:ascii="Book Antiqua" w:hAnsi="Book Antiqua"/>
        </w:rPr>
      </w:pPr>
      <w:r>
        <w:rPr>
          <w:rFonts w:ascii="Book Antiqua" w:hAnsi="Book Antiqua"/>
        </w:rPr>
        <w:t>And report out to the class using, if possible, a document camera for the annotated lines.</w:t>
      </w:r>
    </w:p>
    <w:p w:rsidR="005674EA" w:rsidRDefault="005674EA" w:rsidP="005674EA">
      <w:pPr>
        <w:pStyle w:val="NoSpacing"/>
        <w:rPr>
          <w:rFonts w:ascii="Book Antiqua" w:hAnsi="Book Antiqua"/>
        </w:rPr>
      </w:pPr>
    </w:p>
    <w:p w:rsidR="005674EA" w:rsidRDefault="00C44E68" w:rsidP="005674EA">
      <w:pPr>
        <w:pStyle w:val="NoSpacing"/>
        <w:rPr>
          <w:rFonts w:ascii="Book Antiqua" w:hAnsi="Book Antiqua"/>
          <w:b/>
        </w:rPr>
      </w:pPr>
      <w:r>
        <w:rPr>
          <w:rFonts w:ascii="Book Antiqua" w:hAnsi="Book Antiqua"/>
          <w:b/>
        </w:rPr>
        <w:t>Assessment</w:t>
      </w:r>
    </w:p>
    <w:p w:rsidR="005674EA" w:rsidRDefault="005674EA" w:rsidP="005674EA">
      <w:pPr>
        <w:pStyle w:val="NoSpacing"/>
        <w:rPr>
          <w:rFonts w:ascii="Book Antiqua" w:hAnsi="Book Antiqua"/>
        </w:rPr>
      </w:pPr>
      <w:r>
        <w:rPr>
          <w:rFonts w:ascii="Book Antiqua" w:hAnsi="Book Antiqua"/>
        </w:rPr>
        <w:t xml:space="preserve">Students will investigate the effect of a different type of music, their choice, on their own writing, as they write their own “inter-chapter” (Steinbeck called them “general”) about people involved in a struggle or social issue of their choice. </w:t>
      </w:r>
      <w:r w:rsidR="00837A6C">
        <w:rPr>
          <w:rFonts w:ascii="Book Antiqua" w:hAnsi="Book Antiqua"/>
        </w:rPr>
        <w:t xml:space="preserve">Like Steinbeck, students will </w:t>
      </w:r>
      <w:r w:rsidR="00C44E68">
        <w:rPr>
          <w:rFonts w:ascii="Book Antiqua" w:hAnsi="Book Antiqua"/>
        </w:rPr>
        <w:t>describe</w:t>
      </w:r>
      <w:r w:rsidR="00837A6C">
        <w:rPr>
          <w:rFonts w:ascii="Book Antiqua" w:hAnsi="Book Antiqua"/>
        </w:rPr>
        <w:t xml:space="preserve"> the tone they are trying to reach with their writing, and why the music helps them do that. Students share their writing via publication or reading.</w:t>
      </w:r>
    </w:p>
    <w:p w:rsidR="00C44E68" w:rsidRDefault="00C44E68" w:rsidP="005674EA">
      <w:pPr>
        <w:pStyle w:val="NoSpacing"/>
        <w:rPr>
          <w:rFonts w:ascii="Book Antiqua" w:hAnsi="Book Antiqua"/>
        </w:rPr>
      </w:pPr>
    </w:p>
    <w:p w:rsidR="00C44E68" w:rsidRPr="005674EA" w:rsidRDefault="00C44E68" w:rsidP="005674EA">
      <w:pPr>
        <w:pStyle w:val="NoSpacing"/>
        <w:rPr>
          <w:rFonts w:ascii="Book Antiqua" w:hAnsi="Book Antiqua"/>
        </w:rPr>
      </w:pPr>
      <w:r>
        <w:rPr>
          <w:rFonts w:ascii="Book Antiqua" w:hAnsi="Book Antiqua"/>
        </w:rPr>
        <w:t xml:space="preserve">This may be done in class (with students allowed to use headphones) or at home for homework. </w:t>
      </w:r>
    </w:p>
    <w:p w:rsidR="002F615E" w:rsidRDefault="002F615E">
      <w:pPr>
        <w:rPr>
          <w:rFonts w:ascii="Book Antiqua" w:hAnsi="Book Antiqua"/>
        </w:rPr>
      </w:pPr>
      <w:r>
        <w:rPr>
          <w:rFonts w:ascii="Book Antiqua" w:hAnsi="Book Antiqua"/>
        </w:rPr>
        <w:br w:type="page"/>
      </w:r>
    </w:p>
    <w:p w:rsidR="002F615E" w:rsidRPr="002F615E" w:rsidRDefault="002F615E" w:rsidP="002F615E">
      <w:pPr>
        <w:pStyle w:val="NoSpacing"/>
        <w:rPr>
          <w:rFonts w:ascii="Book Antiqua" w:hAnsi="Book Antiqua"/>
          <w:i/>
        </w:rPr>
      </w:pPr>
      <w:r>
        <w:rPr>
          <w:rFonts w:ascii="Book Antiqua" w:hAnsi="Book Antiqua"/>
        </w:rPr>
        <w:lastRenderedPageBreak/>
        <w:t xml:space="preserve">In </w:t>
      </w:r>
      <w:r>
        <w:rPr>
          <w:rFonts w:ascii="Book Antiqua" w:hAnsi="Book Antiqua"/>
          <w:i/>
        </w:rPr>
        <w:t>Working Days</w:t>
      </w:r>
    </w:p>
    <w:p w:rsidR="005205EA" w:rsidRDefault="00002810"/>
    <w:sectPr w:rsidR="00520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8F2"/>
    <w:multiLevelType w:val="hybridMultilevel"/>
    <w:tmpl w:val="25405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E30243"/>
    <w:multiLevelType w:val="hybridMultilevel"/>
    <w:tmpl w:val="FF8E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D90B94"/>
    <w:multiLevelType w:val="multilevel"/>
    <w:tmpl w:val="B9E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5E"/>
    <w:rsid w:val="00002810"/>
    <w:rsid w:val="0025121A"/>
    <w:rsid w:val="00297F95"/>
    <w:rsid w:val="002F615E"/>
    <w:rsid w:val="004479C0"/>
    <w:rsid w:val="005674EA"/>
    <w:rsid w:val="005C3B54"/>
    <w:rsid w:val="005F2F5F"/>
    <w:rsid w:val="00667F84"/>
    <w:rsid w:val="00837A6C"/>
    <w:rsid w:val="00C44E68"/>
    <w:rsid w:val="00E3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615E"/>
    <w:rPr>
      <w:color w:val="0000FF"/>
      <w:u w:val="single"/>
    </w:rPr>
  </w:style>
  <w:style w:type="character" w:customStyle="1" w:styleId="apple-converted-space">
    <w:name w:val="apple-converted-space"/>
    <w:basedOn w:val="DefaultParagraphFont"/>
    <w:rsid w:val="002F615E"/>
  </w:style>
  <w:style w:type="paragraph" w:styleId="NoSpacing">
    <w:name w:val="No Spacing"/>
    <w:uiPriority w:val="1"/>
    <w:qFormat/>
    <w:rsid w:val="002F615E"/>
    <w:pPr>
      <w:spacing w:after="0" w:line="240" w:lineRule="auto"/>
    </w:pPr>
  </w:style>
  <w:style w:type="paragraph" w:styleId="ListParagraph">
    <w:name w:val="List Paragraph"/>
    <w:basedOn w:val="Normal"/>
    <w:uiPriority w:val="34"/>
    <w:qFormat/>
    <w:rsid w:val="00C44E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615E"/>
    <w:rPr>
      <w:color w:val="0000FF"/>
      <w:u w:val="single"/>
    </w:rPr>
  </w:style>
  <w:style w:type="character" w:customStyle="1" w:styleId="apple-converted-space">
    <w:name w:val="apple-converted-space"/>
    <w:basedOn w:val="DefaultParagraphFont"/>
    <w:rsid w:val="002F615E"/>
  </w:style>
  <w:style w:type="paragraph" w:styleId="NoSpacing">
    <w:name w:val="No Spacing"/>
    <w:uiPriority w:val="1"/>
    <w:qFormat/>
    <w:rsid w:val="002F615E"/>
    <w:pPr>
      <w:spacing w:after="0" w:line="240" w:lineRule="auto"/>
    </w:pPr>
  </w:style>
  <w:style w:type="paragraph" w:styleId="ListParagraph">
    <w:name w:val="List Paragraph"/>
    <w:basedOn w:val="Normal"/>
    <w:uiPriority w:val="34"/>
    <w:qFormat/>
    <w:rsid w:val="00C44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ELA-Literacy/RL/9-10/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Chris Patton</cp:lastModifiedBy>
  <cp:revision>3</cp:revision>
  <dcterms:created xsi:type="dcterms:W3CDTF">2013-08-30T01:10:00Z</dcterms:created>
  <dcterms:modified xsi:type="dcterms:W3CDTF">2013-09-03T16:31:00Z</dcterms:modified>
</cp:coreProperties>
</file>